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88" w:lineRule="auto"/>
        <w:jc w:val="both"/>
        <w:rPr>
          <w:i w:val="1"/>
          <w:iCs w:val="1"/>
        </w:rPr>
      </w:pP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Федеральное государственное бюджетное учреждение науки</w:t>
      </w:r>
    </w:p>
    <w:p>
      <w:pPr>
        <w:pStyle w:val="Normal.0"/>
        <w:spacing w:line="288" w:lineRule="auto"/>
        <w:jc w:val="center"/>
        <w:rPr>
          <w:b w:val="1"/>
          <w:bCs w:val="1"/>
        </w:rPr>
      </w:pP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Музей антропологии и этнографии им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 xml:space="preserve">Петра Великого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Кунсткамера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 xml:space="preserve">РАН </w:t>
      </w: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Отчет </w:t>
      </w: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Григорьева Григорий Геннадьевича</w:t>
      </w: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о работе </w:t>
      </w:r>
    </w:p>
    <w:p>
      <w:pPr>
        <w:pStyle w:val="Normal.0"/>
        <w:spacing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 xml:space="preserve">в </w:t>
      </w:r>
      <w:r>
        <w:rPr>
          <w:b w:val="1"/>
          <w:bCs w:val="1"/>
          <w:rtl w:val="0"/>
          <w:lang w:val="ru-RU"/>
        </w:rPr>
        <w:t>201</w:t>
      </w:r>
      <w:r>
        <w:rPr>
          <w:b w:val="1"/>
          <w:bCs w:val="1"/>
          <w:rtl w:val="0"/>
          <w:lang w:val="ru-RU"/>
        </w:rPr>
        <w:t>8</w:t>
      </w:r>
      <w:r>
        <w:rPr>
          <w:b w:val="1"/>
          <w:bCs w:val="1"/>
          <w:rtl w:val="0"/>
          <w:lang w:val="ru-RU"/>
        </w:rPr>
        <w:t>–</w:t>
      </w:r>
      <w:r>
        <w:rPr>
          <w:b w:val="1"/>
          <w:bCs w:val="1"/>
          <w:rtl w:val="0"/>
          <w:lang w:val="ru-RU"/>
        </w:rPr>
        <w:t>201</w:t>
      </w: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  <w:lang w:val="ru-RU"/>
        </w:rPr>
        <w:t xml:space="preserve"> учебном году </w:t>
      </w: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Научный руководитель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Штырков С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8355"/>
        </w:tabs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подпись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88" w:lineRule="auto"/>
        <w:ind w:left="0" w:right="0" w:firstLine="0"/>
        <w:jc w:val="righ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Normal.0"/>
        <w:spacing w:line="288" w:lineRule="auto"/>
        <w:jc w:val="both"/>
        <w:rPr>
          <w:b w:val="1"/>
          <w:bCs w:val="1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Тема диссертации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Образы дагестанских героев Гражданской войны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(1917-1922)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Северном Кавказе и механизмы конструирования этнических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социополитических и религиозных идентичностей в современном Дагестане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Полевая работа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Республик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Дагестан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Салта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Ленинкент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Коркмаскала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Уллубийаул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Махачкала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Дербент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Часть перечисленных населенных пунктов – родные селения пяти героев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находятся в фокусе исследования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из Акуша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Нажмудин из Гоцо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из Салта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Джелал Коркмасов из Кумтор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кала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Коркмаскала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Уллубий из Уллу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Буйнак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сейчас Уллубийаул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Источники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ексты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устные нарративы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практики связанные с коммеморацией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пяти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дагестанских деятелей времён Гражданской Войны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устные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музейные экспозиции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культурные мероприятия и мемориальные практики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локальная академическая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художественная и публицистическая литература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М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етод сбора материала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олуструктурированные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отдельных случаях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биографические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интервью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время участия в культурных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 коммеморативных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мероприятиях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применяется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метод включённого наблюдения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Исследовательские вопросы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функции выполняют современные устные и письменные нарративы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об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исторических деятелях времён Гражданской войны в Дагестане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эти нарративы влияют на процессы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формировани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идентичностей дагестанских сообществ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ли исторические нарративы об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Акушинском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Нажмудине Гоцинскоми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Гаджи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Салтинском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Уллубийе Буйнакском и Джелале Коркмасове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создавать этнические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культурные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социальные и другие границы между сообществами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Могут ли те же нарративы служить преодолению различных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Какие социальные группы будут заинтересованы в создании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преодолению границ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каких отношениях находятся разные типы текстов о дагестанских героях Гражданской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 функционируют каналы связи между музейными экспозициями и устными нарративами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школьными уроками истории и академической литературой местных исследователей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каких отношениях находятся исторические нарративы о героях прошлого и современные нарративы самоидентификации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каковы типологические сходства и различия между нарративами об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Акушинском и Нажмудине Гоцинском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Каковы типологические сходства и различия между нарративами самоидентификации у жителей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Акуша и жителей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Гоцо</w:t>
      </w:r>
      <w:r>
        <w:rPr>
          <w:rFonts w:ascii="Times New Roman" w:hAnsi="Times New Roman"/>
          <w:sz w:val="24"/>
          <w:szCs w:val="24"/>
          <w:rtl w:val="0"/>
          <w:lang w:val="ru-RU"/>
        </w:rPr>
        <w:t>?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Объект исследования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Ж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ители республики Дагестан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принимающие участие в комемморационных практиках связанных с исторической памятью о Гражданской войне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(1917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>1922)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редмет исследования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родукты комм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орационных практик о Гражданской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устные нарративы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публицистические и научные статьи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мемориальные комплексы и мероприятия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Текст диссертации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году была написана первая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теоретическая глава “Коллективная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изучения и проблемы методологиии”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ней подробнее в отчёте за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2017-2018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ещё раньше 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2015-2016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рамках работы над магистерским проектом была фактически написана вторая глава “Али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из Акуша”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была написана половина третьей главы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глава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из Салта и Нажмудин из Гоцо”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половина посвященная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половина четвёртой главы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“Джелал Коркмасов  и Уллуйбий Буйнакский”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половина посвященная Джелалу Коркмасову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Узун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Гаджи из Салта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Гаджи родился в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1848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году в высокогорном аварском селении Салта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За год до рождения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Гаджи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впрочем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дата его рождения остаётся предмет дискуссий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Салта произошло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возможно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самое жестокое сражение Кавказской войны – осада укреплений Салта длилась почти два месяца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а суммарные потери обеих сторон составили около четырёх тысяч человек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Умер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Гаджи в марте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1920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года на территории Чеченской республики в Веденском районе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где в апреле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1859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проходили бои между силами Северо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Кавказского имамата и Российской империи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а затем с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1995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по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2006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годы почти без перерыва шли жестокие бои между федеральными войсками и вооруженными группами Доку Умарова и Шамиля Басаева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замечу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что Шамиль Басаев сам был выходцем из Веденского района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).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Религиозные и политические взгляды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сформировались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судя по всему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под влиянием шейха Абдурахмана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Хаджи Согратлинского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который был верным соратником имама Шамиля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Интеллектуальная и идеологическая связь между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и Шамиля – один из главных акцентов в нарративах современных салтинцев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Несмотря на очевидную интенсивность идеологической составляющей подобного сравнения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оно действительно объективно важно для понимания политических и социальных идей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а значит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 для анализа оценок и нарративов современных дагестанцев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В августе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1917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года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объединяет своих учеников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мюридов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начинает открыто заниматься политикой в союзе с аварцем «зажиточным барановодом» Нажмудином Гоцинским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который вскоре станет одним из главных лидеров горцев периода Гражданской войны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поездка в Гоцо для изучения памяти о Нажмудине запланирована на лето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Центральная политическая задача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сводилась к обретению независимости Дагестана и Чечни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 введению шариатских судов на этой территории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 кавказском театре военных действий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противостояния Добровольческой армии и сил большевиков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ограниченного вмешательства Британской и Османской империй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начинает проводить собственные военные операции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попеременно вступая в кратковременные союзы практически со всеми политическими силами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заинтересованными в получении контроля над Северном Кавказом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Мои информанты многократно делали ударение на том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Николай Гикало и многотысячная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11-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я армия РККА фактически перешли под контроль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Николай Гикало действительно командовал большевистскими отрядами в районе Грозного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однако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11-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ю армию РККА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насколько мне удалось выяснить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не возглавлял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 момент союза с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в его подчинении находилось около тысячи плохо экипированных и деморализованных бойцов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Я полагаю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что акцент на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11-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й армии и Гикало в нарративе моих салтинских информантов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делался с целью поднять символическую значимость фигуры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который вступил в союз с известным революционером и значимым большевиком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пантеоне героев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Гикало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 известным причинам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занимал место с небольшим перерывом – до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1937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и после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1955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Если мое предположение по поводу нарративного акцента верно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то мы можем наблюдать повторяющаяся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но оттого не менее любопытную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стратегию укрепления символического авторитета дагестанского героя–борца за независимость горцев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 сути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антисоветского и антироссийского персонажа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через соподчинение ему авторитета персонажа советской героической мифологии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честь Гикало названы улицы во Владикавказе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Грозном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Ростове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Дону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Нальчике и Минске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посёлок в Грозненском районе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его образ также увековечен в скульптурной композиции в городе Грозном на площади Дружбы Народов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схожем ключе я склонен рассматривать рассказ нескольких информантов из Салта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 том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что в благодарность за поддержку большевиков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Гаджи получил от Владимира Ленина золотые часы с гравировкой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напомню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что несколько информантов из Акуша рассказывали мне о золотых часах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подаренных Лениным Али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Акушинскому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).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Современные жители Салта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рассказывая о Северо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Кавказском эмирате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обращали моё внимание на то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что в Ведено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удалось наладить чеканку собственных монет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Этот акцент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полагаю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также призван укрепить значимость их односельчанина через указание на степень организованности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созданного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«государства социальной справедливости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основанного на нормах шариата»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Примечательно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что в в том же Ведено в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1842-1843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гг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имам Шамиль наладил производство артиллерии для нужд своей армии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Эта «производственная» параллель между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и имамом Шамилём не упоминалась моими информантами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однако салтинцы из раза в раз обращали моё внимание на идейную преемственность между фигурами Шамиля и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Чеченское селение Ведено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которое стало столицей эмирата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позволяет современным салтинцам перекинуть ещё один мостик исторических и идеологических ассоциаций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но на этот раз не к предшественнику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– имаму Шамилю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но фигурам конца </w:t>
      </w:r>
      <w:r>
        <w:rPr>
          <w:rFonts w:ascii="Times New Roman" w:hAnsi="Times New Roman"/>
          <w:sz w:val="24"/>
          <w:szCs w:val="24"/>
          <w:rtl w:val="0"/>
          <w:lang w:val="da-DK"/>
          <w14:textOutline>
            <w14:noFill/>
          </w14:textOutline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и начала </w:t>
      </w:r>
      <w:r>
        <w:rPr>
          <w:rFonts w:ascii="Times New Roman" w:hAnsi="Times New Roman"/>
          <w:sz w:val="24"/>
          <w:szCs w:val="24"/>
          <w:rtl w:val="0"/>
          <w:lang w:val="it-IT"/>
          <w14:textOutline>
            <w14:noFill/>
          </w14:textOutline>
        </w:rPr>
        <w:t xml:space="preserve">XXI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века – Шамилю Басаеву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который родился в Веденском районе и Рамзану Кадырову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 инициативе которого в Ведено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на месте захоронения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был создан коммеморативный комплекс – построен вычурный «мавзолей» над могилой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организована гостиница для паломников и обновлена близлежащая инфраструктура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Описанная выше смысловая связка между Узун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Гаджи и современностью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содержит в себе ряд проблем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которые явно беспокоят моих информантов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Апелляция к образу борца имама Шамиля и его борьбы за независимость против Российской империи в позитивном контексте в Дагестане частотна и широко распространена во многих регионах республики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вопреки стереотипу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не повсеместна – так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многие даргинцы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том числе в Акуша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относятся к фигуре имама сдержанно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негативно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Однако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те же рассуждения о борьбе за независимость с упоминания Чечни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Рамзана Кадырова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тем более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чеченских лидеров времён чеченских войн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информанты делают крайне осторожно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Даже те информанты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которые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 моей оценке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положительно относятся к современному чеченскому истеблишменту или частично симпатизируют борцам за независимость периода чеченских войн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чрезвычайно аккуратны в своих оценках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Получив от меня даже непрямой уточняющий вопрос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информанты прекращают всякие рассуждения о независимости или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хотя бы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самостоятельности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и уходят в твердо заученный «антиваххабитский» лоялистский нарратив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который транслируется федеральными массмедиа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Джелал Коркмасов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Я считаю необходимым обратиться к “кумыкскому” взгляду на Гражданскую войну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в случае с даргинскими и аварскими нарративами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кумыкскому взгляду на историю Гражданской войны я подхожу через анализ образа исторического персонажа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 станет Джелал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эд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Дин Коркмасов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(1877-1937),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который был не просто амбициозным локальным лидером как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или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оказал значительное влияние на историю Дагестана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стал первым Председателем Правительства Республики Дагестан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(1921-1931). 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Историческая зона расселения кумыков – западное побережье Каспийского моря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 равнинная часть Дагестана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Открытость равнинной части Дагестана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всей видимости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способствовала развитию политической и торговой культуры у кумыков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XX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века кумыкский выполнял роль лингва франка в Дагестане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Тарковское шамхальство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XV-XIX)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было наиболее сложноорганизованным и централизованным политическим формированием на территории современного Дагестана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сравнению с горскими вольными обществами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кумыки чаще других народов Дагестана вступали в экономические и политические отношения с соседними государственными образованиями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наше время кумыки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наряду с аварцами и даргинцами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занимают важные политические посты в республике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XX-XXI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Дагестане произошли значительные изменения связанные с переселением горцев на равнинные земли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этот феномену хорошо описан в отечественной исследовательской литературе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Масштабный социальный и экономический сдвиг привёл к обострению отношений между аварцами и даргинцами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начали переселяться на равнины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кумыками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на этих равнинах жили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Хотя официальный дискурс республики предполагает умалчивание существования межэтнического напряжения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упоминания и намёки на конфликты между кумыками и аварцами часто встречаются в нарративах моих информантов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Используя терминологию теории “коллективной памяти” предполагаю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современный конфликт между аварцами и кумыками может стать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ru-RU"/>
        </w:rPr>
        <w:t>референтной рамкой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для осмысления истории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для кумыков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и для аварцев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Само противопоставление равнин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побережья и гор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конечно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имеет куда более долгую историю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чем описанные выше социальные процессы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аварцев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горы ассоциируются с “праведностью”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“традиционностью”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“древностью”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Спуск с гор осмысляется в эсхатологическом ключе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равнина – место разврата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торгашества и болезни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Несложно догадаться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кумыки осмысляют дихотомию горы–равнина иначе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них горы – место грубости и необразованности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равнина – вместилище цивилизации и прогресса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Интересно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мои даргинские информанты включаются в эту дихотомию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с гордостью указывают на 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даргинцы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особенно выходцы из 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Акуша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“издавна выполняли роль третейского судьи”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 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примиряли аварцев и кумыков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Понятно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прямые вопросы о противостоянии “гор” и “равнины”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аварцев и кумыков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вызывают воодушевления среди информантов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здесь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ранее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намерен подойти к проблеме через сравнительно безопасный сюжет – историю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Образ кумыка Джелала Коркмасова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свою очередь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станет ключом к “кумыкскому” взгляду на Гражданскую войну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Такой путь представляется мне перспективным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только потому что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судя по количеству названий улиц и мемориалов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Коркмасов – главный революционный герой кумыков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его биографии легко обнаруживается множество реперных точек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пересекаются с реперными точками в нарративах об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Рассказывая о Гражданской войне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информанты из Акуша и Салта часто рассуждали об Османской и Британской империи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воображаемом Востоке и Западе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их роли ходе Гражданской войны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Коркмасов же долгое время жил в Париже и Стамбуле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позднее вёл переговоры с западными и восточными государствами от лица советского правительства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Жители Акуша и Салта рассказывали о золотых часах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Ленин в благодарность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якобы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подарил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с Коркмасовым общение с “центром” имело прямой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немифологический характер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 как он занимал высокие партийные должности и участвовал в строительстве Советского государства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Коркмасов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и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 и Али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Гаджи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конечном итоге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стал жертвой советских репрессий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Кандидатские экзамены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сдан экзамен по истории и философии науки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оценка 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“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хорошо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Май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сдан экзамен по иностранному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английскому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языку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оценка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отлично”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Публикации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Июнь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2019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– в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“Антропологический Форум” сдана рецензия на сборник статей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Sacred Places, Emerging Spaces: Religious pluralism in the Post-Soviet Caucasus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”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, Berghahn Books, 2018.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Декабрь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Григорий Григорьев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Конструирование памяти о Гражданской войне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(1917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1922)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селе Акуша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Республика Дагестан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Материалы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V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Международного форума историков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кавказоведов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Южный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Федеральный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Университет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Ростов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/>
          <w:sz w:val="24"/>
          <w:szCs w:val="24"/>
          <w:rtl w:val="0"/>
          <w:lang w:val="en-US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Дону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nl-NL"/>
        </w:rPr>
        <w:t xml:space="preserve">2017,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en-US"/>
        </w:rPr>
        <w:t>. 200-209.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6"/>
          <w:szCs w:val="26"/>
          <w:lang w:val="en-US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Доклады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 xml:space="preserve">Апрель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– книжный семинар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в ЕУСПБ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 –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Sacred Places, Emerging Spaces. Religious Pluralism in the Post-Soviet Caucasus</w:t>
      </w:r>
      <w:r>
        <w:rPr>
          <w:rFonts w:ascii="Times New Roman" w:hAnsi="Times New Roman"/>
          <w:sz w:val="24"/>
          <w:szCs w:val="24"/>
          <w:rtl w:val="0"/>
          <w:lang w:val="en-US"/>
          <w14:textOutline>
            <w14:noFil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Ed. by Tsypylma Darieva, Florian M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ü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hlfried, &amp;amp; Kevin Tuite. Berghahn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Books: Oxford, NY, 2018.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14:textOutline>
            <w14:noFill/>
          </w14:textOutline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 xml:space="preserve">Апрель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 xml:space="preserve">2019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– 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исследовательский семинар в ЕУСПБ –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Джелал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эд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Дин Коркмасов</w:t>
      </w:r>
      <w:r>
        <w:rPr>
          <w:rFonts w:ascii="Times New Roman" w:hAnsi="Times New Roman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>кумыкская история Гражданской войны в Дагестане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Декабрь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исследовательский семинар в ЕУСПБ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“Образ Узун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Гаджи Салтинского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(1848-1920)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нарративах жителей аварского селения Салта”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Октябрь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исследовательский семинар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ЕУСПБ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”Коллективная память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история изучения и проблемы методологиии”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Сентябрь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2018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–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конференция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 ‘</w:t>
      </w:r>
      <w:r>
        <w:rPr>
          <w:rFonts w:ascii="Times New Roman" w:hAnsi="Times New Roman"/>
          <w:sz w:val="24"/>
          <w:szCs w:val="24"/>
          <w:rtl w:val="0"/>
          <w:lang w:val="en-US"/>
        </w:rPr>
        <w:t>Regimes and Societies in Conflict: Eastern Europe and Russia since 1956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Уппсальский Университет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Институт Исследования России и Евразии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Уппсала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провинция Уппланд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Доклад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sz w:val="24"/>
          <w:szCs w:val="24"/>
          <w:rtl w:val="0"/>
          <w:lang w:val="en-US"/>
        </w:rPr>
        <w:t>Remembering Soviet Occupation in the Modern Northern Caucasus, the Case Study of Collective Memory in one Dagestani Village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”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Гранты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Сентябрь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– Подана заявка на стипендиальную программу Пражского Гражданского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получения гранта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line="288" w:lineRule="auto"/>
        <w:ind w:left="0" w:right="0" w:firstLine="0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u w:color="000000"/>
          <w:rtl w:val="0"/>
          <w:lang w:val="ru-RU"/>
        </w:rPr>
        <w:t xml:space="preserve">Май 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</w:rPr>
        <w:t>2019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 –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 xml:space="preserve">Подана заявка на грант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университет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Wisconsin-Madison, Wisconsin Russia Project,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en-US"/>
        </w:rPr>
        <w:t> 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Center for Russia, East Europe, and Central Asia (CREECA).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Грант получен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стажировка в Университете Висконсин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Мэдисон пройдёт с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января по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17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 xml:space="preserve">2020 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ru-RU"/>
        </w:rPr>
        <w:t>года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Полевая работа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Июнь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– полевая работа в Республике Дагеста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Махачкала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Салта</w:t>
      </w:r>
    </w:p>
    <w:p>
      <w:pPr>
        <w:pStyle w:val="Body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both"/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Июль–август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2019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– полевая работа в Республике Дагестан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Махачкала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Гоцоб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Ленинкент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Коркмаскала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Уллубийаул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