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85" w:rsidRDefault="006B7485" w:rsidP="002D3A94">
      <w:pPr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положения </w:t>
      </w:r>
      <w:r w:rsidRPr="00EE1553">
        <w:rPr>
          <w:b/>
          <w:color w:val="000000"/>
          <w:sz w:val="28"/>
          <w:szCs w:val="28"/>
        </w:rPr>
        <w:t xml:space="preserve">программы развития </w:t>
      </w:r>
      <w:r>
        <w:rPr>
          <w:b/>
          <w:color w:val="000000"/>
          <w:sz w:val="28"/>
          <w:szCs w:val="28"/>
        </w:rPr>
        <w:t xml:space="preserve">МАЭ РАН на 2017-2022 гг. (д.ф.н., заведующий отделом Африки А.Ю. </w:t>
      </w:r>
      <w:proofErr w:type="spellStart"/>
      <w:r>
        <w:rPr>
          <w:b/>
          <w:color w:val="000000"/>
          <w:sz w:val="28"/>
          <w:szCs w:val="28"/>
        </w:rPr>
        <w:t>Желтов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6B7485" w:rsidRDefault="006B7485" w:rsidP="009B4522">
      <w:pPr>
        <w:contextualSpacing/>
        <w:jc w:val="both"/>
        <w:rPr>
          <w:sz w:val="28"/>
          <w:szCs w:val="28"/>
        </w:rPr>
      </w:pPr>
      <w:r w:rsidRPr="00977903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977903">
        <w:rPr>
          <w:sz w:val="28"/>
          <w:szCs w:val="28"/>
        </w:rPr>
        <w:t>озиционирование научной организации, стратегические цели и задачи.</w:t>
      </w:r>
    </w:p>
    <w:p w:rsidR="006B7485" w:rsidRPr="002D3A94" w:rsidRDefault="006B7485" w:rsidP="009B4522">
      <w:pPr>
        <w:contextualSpacing/>
        <w:jc w:val="both"/>
        <w:rPr>
          <w:spacing w:val="-4"/>
        </w:rPr>
      </w:pPr>
      <w:r w:rsidRPr="002D3A94">
        <w:rPr>
          <w:spacing w:val="-4"/>
        </w:rPr>
        <w:t xml:space="preserve">МАЭ (Кунсткамера) РАН </w:t>
      </w:r>
      <w:r w:rsidRPr="004563DC">
        <w:rPr>
          <w:spacing w:val="-4"/>
        </w:rPr>
        <w:t>–</w:t>
      </w:r>
      <w:r w:rsidRPr="002D3A94">
        <w:rPr>
          <w:spacing w:val="-4"/>
        </w:rPr>
        <w:t xml:space="preserve"> один из наиболее значимых символов петербургской и российской науки и культуры, при этом остающийся динамично развивающимся научным институтом и востребованным музейным центром мирового значения. Принципиальной характеристикой МАЭ является сложное взаимодействие научной и музейной составляющей. МАЭ </w:t>
      </w:r>
      <w:r w:rsidRPr="004563DC">
        <w:rPr>
          <w:spacing w:val="-4"/>
        </w:rPr>
        <w:t>–</w:t>
      </w:r>
      <w:r w:rsidRPr="002D3A94">
        <w:rPr>
          <w:spacing w:val="-4"/>
        </w:rPr>
        <w:t xml:space="preserve"> это уникальный сложнейший организм, объединяющий научные отделы, музейную экспозицию и музейные фонды. К стратегическим целям развития МАЭ следует отнести гармоничное взаимодействие научных отделов, музея и фондов, которое позволит сохранять богатейшие традиции Кунсткамеры </w:t>
      </w:r>
      <w:r w:rsidRPr="004563DC">
        <w:rPr>
          <w:spacing w:val="-4"/>
        </w:rPr>
        <w:t>–</w:t>
      </w:r>
      <w:r w:rsidRPr="002D3A94">
        <w:rPr>
          <w:spacing w:val="-4"/>
        </w:rPr>
        <w:t xml:space="preserve"> МАЭ, и соответствовать современным тенденциям научной и музейной деятельности, используя исторически сложившийся симбиоз музея и научного института. В качестве задач, ориентированных на достижение стратегических целей следует назвать преемственность и сохранение творческой и доброжелательной академической атмосферы, которой, на мой взгляд, характеризуются последние годы в МАЭ. При сложной структуре и большом разнообразии видов деятельности и интересов сотрудников спорные моменты и некоторые конфликты неизбежны, но для сохранения конструктивной жизнедеятельности это должны быть дискуссии об идеях и подходах, а не конфликты групп и личностей. В этой связи роль руководства состоит в заинтересованности и обеспечении сис</w:t>
      </w:r>
      <w:r w:rsidR="00A23213">
        <w:rPr>
          <w:spacing w:val="-4"/>
        </w:rPr>
        <w:t xml:space="preserve">темной и </w:t>
      </w:r>
      <w:proofErr w:type="spellStart"/>
      <w:r w:rsidR="00A23213">
        <w:rPr>
          <w:spacing w:val="-4"/>
        </w:rPr>
        <w:t>институциализированной</w:t>
      </w:r>
      <w:proofErr w:type="spellEnd"/>
      <w:r w:rsidRPr="002D3A94">
        <w:rPr>
          <w:spacing w:val="-4"/>
        </w:rPr>
        <w:t xml:space="preserve"> «обратной связи» с коллективом, профсоюзом, отделами и сотрудниками. </w:t>
      </w:r>
    </w:p>
    <w:p w:rsidR="006B7485" w:rsidRDefault="006B7485" w:rsidP="009B4522">
      <w:pPr>
        <w:pStyle w:val="ad"/>
        <w:jc w:val="both"/>
        <w:rPr>
          <w:sz w:val="28"/>
          <w:szCs w:val="28"/>
        </w:rPr>
      </w:pPr>
      <w:r w:rsidRPr="00977903">
        <w:rPr>
          <w:sz w:val="28"/>
          <w:szCs w:val="28"/>
        </w:rPr>
        <w:t xml:space="preserve">2. Исследовательская программа. </w:t>
      </w:r>
    </w:p>
    <w:p w:rsidR="006B7485" w:rsidRPr="002D3A94" w:rsidRDefault="006B7485" w:rsidP="002D3A94">
      <w:pPr>
        <w:contextualSpacing/>
        <w:jc w:val="both"/>
        <w:rPr>
          <w:spacing w:val="-4"/>
        </w:rPr>
      </w:pPr>
      <w:r w:rsidRPr="002D3A94">
        <w:rPr>
          <w:spacing w:val="-4"/>
        </w:rPr>
        <w:t xml:space="preserve">Сфера научной деятельности МАЭ характеризуется очень большим разнообразием, и сохранение этого разнообразия должно оставаться принципиальным. </w:t>
      </w:r>
      <w:proofErr w:type="gramStart"/>
      <w:r w:rsidRPr="002D3A94">
        <w:rPr>
          <w:spacing w:val="-4"/>
        </w:rPr>
        <w:t>Структура научных отделов состоит из «региональных» отделов (Африки, Америки, Сибири и т.д.) и тематических (антропологии, археологии, истории Кунсткамеры и отечественной науки и т.д.).</w:t>
      </w:r>
      <w:proofErr w:type="gramEnd"/>
      <w:r w:rsidRPr="002D3A94">
        <w:rPr>
          <w:spacing w:val="-4"/>
        </w:rPr>
        <w:t xml:space="preserve"> При этом в разных отделах складывались различные школы и традиции, сотрудники  могут ориентироваться на этнографическое описание музейных коллекций, работу с архивными документами, полевые экспедиции, теоретическое осмысление проблем антропологии и этнографии, экспертную деятельность, визуальную антропологию, работу с языковым, литературным и художественным материалом. В этом контексте программа исследований не должна подвергаться унификации: многообразие </w:t>
      </w:r>
      <w:r w:rsidRPr="004563DC">
        <w:rPr>
          <w:spacing w:val="-4"/>
        </w:rPr>
        <w:t>–</w:t>
      </w:r>
      <w:r w:rsidRPr="002D3A94">
        <w:rPr>
          <w:spacing w:val="-4"/>
        </w:rPr>
        <w:t xml:space="preserve"> принципиальная традиция Кунсткамеры, и было бы печально, если бы какое-то из направлений исчезло. При этом представляется перспективным и формирование тематических групп и коллективов по определенным общим проблемам. Собственно к таким группам можно отнести существующие плановые темы и семинары МАЭ, которые позволяют сотрудничать ученым из различных отделов. Эта форма должна быть продолжена. </w:t>
      </w:r>
      <w:proofErr w:type="gramStart"/>
      <w:r w:rsidRPr="002D3A94">
        <w:rPr>
          <w:spacing w:val="-4"/>
        </w:rPr>
        <w:t xml:space="preserve">Уникальное разнообразие научной тематики МАЭ (от истории науки до визуальной антропологии, от России до Африки и Океании) позволяет считать, что коллектив МАЭ в результате совместных дискуссий мог бы осуществить проект по формулированию научного подхода к актуальным проблемам современного мира </w:t>
      </w:r>
      <w:r w:rsidRPr="004563DC">
        <w:rPr>
          <w:spacing w:val="-4"/>
        </w:rPr>
        <w:t>–</w:t>
      </w:r>
      <w:r w:rsidRPr="002D3A94">
        <w:rPr>
          <w:spacing w:val="-4"/>
        </w:rPr>
        <w:t xml:space="preserve"> проблеме культурной и социальной идентификации, этнических и религиозных конфликтов, конфликта культурной самобытности и процессов глобализации, «национальных» идей и «национальных» интересов и</w:t>
      </w:r>
      <w:proofErr w:type="gramEnd"/>
      <w:r w:rsidRPr="002D3A94">
        <w:rPr>
          <w:spacing w:val="-4"/>
        </w:rPr>
        <w:t xml:space="preserve"> т.д. Представляется, что обсуждение этих фундаментальных проблем в сфере политики и журналистики часто приводит к слишком </w:t>
      </w:r>
      <w:proofErr w:type="gramStart"/>
      <w:r w:rsidRPr="002D3A94">
        <w:rPr>
          <w:spacing w:val="-4"/>
        </w:rPr>
        <w:t>поверхностному</w:t>
      </w:r>
      <w:proofErr w:type="gramEnd"/>
      <w:r w:rsidRPr="002D3A94">
        <w:rPr>
          <w:spacing w:val="-4"/>
        </w:rPr>
        <w:t xml:space="preserve"> </w:t>
      </w:r>
      <w:proofErr w:type="spellStart"/>
      <w:r w:rsidRPr="002D3A94">
        <w:rPr>
          <w:spacing w:val="-4"/>
        </w:rPr>
        <w:t>дискурсу</w:t>
      </w:r>
      <w:proofErr w:type="spellEnd"/>
      <w:r w:rsidRPr="002D3A94">
        <w:rPr>
          <w:spacing w:val="-4"/>
        </w:rPr>
        <w:t xml:space="preserve">. Коллектив МАЭ вряд ли решит все эти проблемы за обсуждаемый пятилетний срок, но мог бы развернуть их обсуждение в </w:t>
      </w:r>
      <w:proofErr w:type="gramStart"/>
      <w:r w:rsidRPr="002D3A94">
        <w:rPr>
          <w:spacing w:val="-4"/>
        </w:rPr>
        <w:t>более научную</w:t>
      </w:r>
      <w:proofErr w:type="gramEnd"/>
      <w:r w:rsidRPr="002D3A94">
        <w:rPr>
          <w:spacing w:val="-4"/>
        </w:rPr>
        <w:t xml:space="preserve"> плоскость (традиция </w:t>
      </w:r>
      <w:proofErr w:type="spellStart"/>
      <w:r w:rsidRPr="002D3A94">
        <w:rPr>
          <w:spacing w:val="-4"/>
        </w:rPr>
        <w:t>Н.М.Гиренко</w:t>
      </w:r>
      <w:proofErr w:type="spellEnd"/>
      <w:r w:rsidRPr="002D3A94">
        <w:rPr>
          <w:spacing w:val="-4"/>
        </w:rPr>
        <w:t xml:space="preserve"> и других ученых МАЭ). Использование возможности музея и лекционной деятельности (например, цикл открытых научных лекции, как в ЕУ) для популяризации научных подходов к современности могли бы оказать позитивное воздействие и на атмосферу в обществе в целом. </w:t>
      </w:r>
    </w:p>
    <w:p w:rsidR="006B7485" w:rsidRDefault="006B7485" w:rsidP="009B4522">
      <w:pPr>
        <w:contextualSpacing/>
        <w:jc w:val="both"/>
        <w:rPr>
          <w:sz w:val="28"/>
          <w:szCs w:val="28"/>
        </w:rPr>
      </w:pPr>
      <w:r w:rsidRPr="00977903">
        <w:rPr>
          <w:sz w:val="28"/>
          <w:szCs w:val="28"/>
        </w:rPr>
        <w:lastRenderedPageBreak/>
        <w:t xml:space="preserve">3. Кооперация с российскими и международными организациями. </w:t>
      </w:r>
    </w:p>
    <w:p w:rsidR="006B7485" w:rsidRPr="009B4522" w:rsidRDefault="006B7485" w:rsidP="009B4522">
      <w:pPr>
        <w:contextualSpacing/>
        <w:jc w:val="both"/>
      </w:pPr>
      <w:r w:rsidRPr="009B4522">
        <w:t xml:space="preserve">Кунсткамера всегда была </w:t>
      </w:r>
      <w:r>
        <w:t xml:space="preserve">одним из основных символов «окна» не только в Европу, но и в «остальной» мир. В последние годы осуществляется интенсивное и научное, и музейное сотрудничество. Принципиальным представляется продолжение финансирования экспедиционной деятельности из внебюджетных средств музея – это один из основных видов деятельности этнографов. Важным моментом является сохранение системы внутренних грантов для участия в международных конференциях. </w:t>
      </w:r>
    </w:p>
    <w:p w:rsidR="006B7485" w:rsidRDefault="006B7485" w:rsidP="009B4522">
      <w:pPr>
        <w:contextualSpacing/>
        <w:jc w:val="both"/>
        <w:rPr>
          <w:sz w:val="28"/>
          <w:szCs w:val="28"/>
        </w:rPr>
      </w:pPr>
      <w:r w:rsidRPr="00977903">
        <w:rPr>
          <w:sz w:val="28"/>
          <w:szCs w:val="28"/>
        </w:rPr>
        <w:t xml:space="preserve">4. Кадровое развитие и образовательная деятельность. </w:t>
      </w:r>
    </w:p>
    <w:p w:rsidR="006B7485" w:rsidRPr="00E36744" w:rsidRDefault="006B7485" w:rsidP="009B4522">
      <w:pPr>
        <w:contextualSpacing/>
        <w:jc w:val="both"/>
      </w:pPr>
      <w:r w:rsidRPr="00E36744">
        <w:t xml:space="preserve">Существование и развитие научных центров обеспечивается преемственностью и </w:t>
      </w:r>
      <w:proofErr w:type="spellStart"/>
      <w:r w:rsidRPr="00E36744">
        <w:t>воспроизводимостью</w:t>
      </w:r>
      <w:proofErr w:type="spellEnd"/>
      <w:r w:rsidRPr="00E36744">
        <w:t xml:space="preserve"> кадров. Сейчас ситуация с данным балансом в МАЭ, в целом, благополучная, но даже высокий престиж работы в Кунсткамере не может полностью снять проблемы с оплатой труда ученых</w:t>
      </w:r>
      <w:r>
        <w:t xml:space="preserve"> и музейных сотрудников</w:t>
      </w:r>
      <w:r w:rsidRPr="00E36744">
        <w:t xml:space="preserve"> в России (даже при некотором улучшении в последнее время). Повышение зарплат очевидно необходимо, но не за счет сокращения уникальных специалистов, сохранивших научные школы в труднейшие годы. </w:t>
      </w:r>
      <w:r>
        <w:t>Не способствую</w:t>
      </w:r>
      <w:r w:rsidRPr="00E36744">
        <w:t>т «</w:t>
      </w:r>
      <w:proofErr w:type="spellStart"/>
      <w:r w:rsidRPr="00E36744">
        <w:t>воспроизводимости</w:t>
      </w:r>
      <w:proofErr w:type="spellEnd"/>
      <w:r>
        <w:t xml:space="preserve">» и изменения в системе аспирантуры. Происходящая унификация аспирантуры с </w:t>
      </w:r>
      <w:proofErr w:type="spellStart"/>
      <w:r>
        <w:t>бакалавриатом</w:t>
      </w:r>
      <w:proofErr w:type="spellEnd"/>
      <w:r>
        <w:t xml:space="preserve"> и магистратурой требует обсуждения и не представляется очевидной для академических организаций. </w:t>
      </w:r>
    </w:p>
    <w:p w:rsidR="006B7485" w:rsidRDefault="006B7485" w:rsidP="009B4522">
      <w:pPr>
        <w:contextualSpacing/>
        <w:jc w:val="both"/>
        <w:rPr>
          <w:sz w:val="28"/>
          <w:szCs w:val="28"/>
        </w:rPr>
      </w:pPr>
      <w:r w:rsidRPr="00977903">
        <w:rPr>
          <w:sz w:val="28"/>
          <w:szCs w:val="28"/>
        </w:rPr>
        <w:t>5. Развитие инфраструктуры исследований и разработок.</w:t>
      </w:r>
    </w:p>
    <w:p w:rsidR="006B7485" w:rsidRPr="002D3A94" w:rsidRDefault="006B7485" w:rsidP="009B4522">
      <w:pPr>
        <w:contextualSpacing/>
        <w:jc w:val="both"/>
        <w:rPr>
          <w:spacing w:val="-4"/>
        </w:rPr>
      </w:pPr>
      <w:proofErr w:type="gramStart"/>
      <w:r w:rsidRPr="002D3A94">
        <w:rPr>
          <w:spacing w:val="-4"/>
        </w:rPr>
        <w:t xml:space="preserve">Из главных инфраструктурных проблем можно выделить развитие проекта нового </w:t>
      </w:r>
      <w:proofErr w:type="spellStart"/>
      <w:r w:rsidRPr="002D3A94">
        <w:rPr>
          <w:spacing w:val="-4"/>
        </w:rPr>
        <w:t>фондохранилища</w:t>
      </w:r>
      <w:proofErr w:type="spellEnd"/>
      <w:r w:rsidRPr="002D3A94">
        <w:rPr>
          <w:spacing w:val="-4"/>
        </w:rPr>
        <w:t xml:space="preserve"> (с очень тщательным обсуждением возможных проблем), завершение ремонтных работ в МАЭ (например, </w:t>
      </w:r>
      <w:proofErr w:type="spellStart"/>
      <w:r w:rsidRPr="002D3A94">
        <w:rPr>
          <w:spacing w:val="-4"/>
        </w:rPr>
        <w:t>нефункционирование</w:t>
      </w:r>
      <w:proofErr w:type="spellEnd"/>
      <w:r w:rsidRPr="002D3A94">
        <w:rPr>
          <w:spacing w:val="-4"/>
        </w:rPr>
        <w:t xml:space="preserve"> почти 20 лет актового зала снижает возможности проведения научных и популяризаторских мероприятий), продолжение работы по обновлению экспозиций и оцифровыванию коллекций, продолжение работы по представлению МАЭ в виртуальном пространстве.</w:t>
      </w:r>
      <w:proofErr w:type="gramEnd"/>
      <w:r w:rsidRPr="002D3A94">
        <w:rPr>
          <w:spacing w:val="-4"/>
        </w:rPr>
        <w:t xml:space="preserve"> Изменения в структуре отделов, вызванные изменениями в кадровом составе и другими факторами, возможны, но должны опираться на открытое обсуждение с аргументацией их необходимости.</w:t>
      </w:r>
    </w:p>
    <w:p w:rsidR="006B7485" w:rsidRDefault="006B7485" w:rsidP="009B4522">
      <w:pPr>
        <w:jc w:val="both"/>
        <w:rPr>
          <w:sz w:val="28"/>
          <w:szCs w:val="28"/>
        </w:rPr>
      </w:pPr>
      <w:r w:rsidRPr="00977903">
        <w:rPr>
          <w:sz w:val="28"/>
          <w:szCs w:val="28"/>
        </w:rPr>
        <w:t>6. Бюджет программы развития.</w:t>
      </w:r>
    </w:p>
    <w:p w:rsidR="006B7485" w:rsidRPr="0060330A" w:rsidRDefault="006B7485" w:rsidP="009B4522">
      <w:pPr>
        <w:jc w:val="both"/>
      </w:pPr>
      <w:r w:rsidRPr="0060330A">
        <w:t xml:space="preserve">Если исходить из сохранения нынешнего бюджета МАЭ РАН, то система его распределения представляется вполне адекватной и гласной: полевая комиссия, комиссия по грантам, возможно требующая некоторой корректировки, </w:t>
      </w:r>
      <w:r>
        <w:t xml:space="preserve">но </w:t>
      </w:r>
      <w:r w:rsidRPr="0060330A">
        <w:t xml:space="preserve">вполне понятная система </w:t>
      </w:r>
      <w:r>
        <w:t>стимулирующих рейтинговых надбавок научным сотрудникам. Очевидно, что для решения обозначенных выше инфраструктурных и кадровых проблем требуется увеличение финансирования, что выходит за возможности собственно МАЭ РАН. Соответственно, следует продолжить работу по привлечению финансирования. Конкретные цифры должны обсуждаться соответствующими специалистами, а необходимые статьи финансирования – формулироваться в результате гласного обсуждения коллектива МАЭ.</w:t>
      </w:r>
    </w:p>
    <w:p w:rsidR="006B7485" w:rsidRPr="00977903" w:rsidRDefault="006B7485" w:rsidP="009B4522">
      <w:pPr>
        <w:contextualSpacing/>
        <w:jc w:val="both"/>
        <w:rPr>
          <w:sz w:val="28"/>
          <w:szCs w:val="28"/>
        </w:rPr>
      </w:pPr>
      <w:r w:rsidRPr="00977903">
        <w:rPr>
          <w:sz w:val="28"/>
          <w:szCs w:val="28"/>
        </w:rPr>
        <w:t>7. Совершенствование системы управления организацией и ключевых процессов.</w:t>
      </w:r>
    </w:p>
    <w:p w:rsidR="006B7485" w:rsidRDefault="006B7485" w:rsidP="009B4522">
      <w:pPr>
        <w:contextualSpacing/>
        <w:jc w:val="both"/>
      </w:pPr>
      <w:r>
        <w:t xml:space="preserve">Еще раз подчеркну, что, с моей точки зрения, в последние годы руководству МАЭ удавалось обеспечивать принципиально важную обратную связь с коллективом и конструктивную академическую среду. Сохранение сложившейся атмосферы и традиций является очень важной задачей. Я вижу роль администрации любого научного подразделения и института не в «управлении», а в сотрудничестве, причем не только в реализации решений вышестоящего руководства, но и в формулировании (исходя из некоторого консенсуса частных интересов отделов и сотрудников) и отстаивании интересов своих коллег, которые должны оставаться коллегами, а не превращаться в «подчиненных». С моей точки зрения, в принципе, нормальная система взаимодействия ученых и администрации - когда ученые дают рекомендации чиновникам, чем им заниматься, а не наоборот. </w:t>
      </w:r>
    </w:p>
    <w:sectPr w:rsidR="006B7485" w:rsidSect="00CD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12C"/>
    <w:multiLevelType w:val="hybridMultilevel"/>
    <w:tmpl w:val="F83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ED60F1"/>
    <w:multiLevelType w:val="hybridMultilevel"/>
    <w:tmpl w:val="369C6B3A"/>
    <w:lvl w:ilvl="0" w:tplc="157E01B6">
      <w:start w:val="1"/>
      <w:numFmt w:val="bullet"/>
      <w:lvlText w:val="o"/>
      <w:lvlJc w:val="left"/>
      <w:pPr>
        <w:ind w:left="359" w:hanging="207"/>
      </w:pPr>
      <w:rPr>
        <w:rFonts w:ascii="Times New Roman" w:eastAsia="Times New Roman" w:hAnsi="Times New Roman" w:hint="default"/>
        <w:b/>
        <w:w w:val="99"/>
        <w:sz w:val="28"/>
      </w:rPr>
    </w:lvl>
    <w:lvl w:ilvl="1" w:tplc="03201CE4">
      <w:start w:val="1"/>
      <w:numFmt w:val="decimal"/>
      <w:lvlText w:val="%2."/>
      <w:lvlJc w:val="left"/>
      <w:pPr>
        <w:ind w:left="38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984607A">
      <w:start w:val="1"/>
      <w:numFmt w:val="bullet"/>
      <w:lvlText w:val="•"/>
      <w:lvlJc w:val="left"/>
      <w:pPr>
        <w:ind w:left="4468" w:hanging="283"/>
      </w:pPr>
      <w:rPr>
        <w:rFonts w:hint="default"/>
      </w:rPr>
    </w:lvl>
    <w:lvl w:ilvl="3" w:tplc="87148B26">
      <w:start w:val="1"/>
      <w:numFmt w:val="bullet"/>
      <w:lvlText w:val="•"/>
      <w:lvlJc w:val="left"/>
      <w:pPr>
        <w:ind w:left="5107" w:hanging="283"/>
      </w:pPr>
      <w:rPr>
        <w:rFonts w:hint="default"/>
      </w:rPr>
    </w:lvl>
    <w:lvl w:ilvl="4" w:tplc="CE8A14B6">
      <w:start w:val="1"/>
      <w:numFmt w:val="bullet"/>
      <w:lvlText w:val="•"/>
      <w:lvlJc w:val="left"/>
      <w:pPr>
        <w:ind w:left="5746" w:hanging="283"/>
      </w:pPr>
      <w:rPr>
        <w:rFonts w:hint="default"/>
      </w:rPr>
    </w:lvl>
    <w:lvl w:ilvl="5" w:tplc="E68A0200">
      <w:start w:val="1"/>
      <w:numFmt w:val="bullet"/>
      <w:lvlText w:val="•"/>
      <w:lvlJc w:val="left"/>
      <w:pPr>
        <w:ind w:left="6385" w:hanging="283"/>
      </w:pPr>
      <w:rPr>
        <w:rFonts w:hint="default"/>
      </w:rPr>
    </w:lvl>
    <w:lvl w:ilvl="6" w:tplc="0C9E7F42">
      <w:start w:val="1"/>
      <w:numFmt w:val="bullet"/>
      <w:lvlText w:val="•"/>
      <w:lvlJc w:val="left"/>
      <w:pPr>
        <w:ind w:left="7024" w:hanging="283"/>
      </w:pPr>
      <w:rPr>
        <w:rFonts w:hint="default"/>
      </w:rPr>
    </w:lvl>
    <w:lvl w:ilvl="7" w:tplc="7A1E321A">
      <w:start w:val="1"/>
      <w:numFmt w:val="bullet"/>
      <w:lvlText w:val="•"/>
      <w:lvlJc w:val="left"/>
      <w:pPr>
        <w:ind w:left="7663" w:hanging="283"/>
      </w:pPr>
      <w:rPr>
        <w:rFonts w:hint="default"/>
      </w:rPr>
    </w:lvl>
    <w:lvl w:ilvl="8" w:tplc="84D0A242">
      <w:start w:val="1"/>
      <w:numFmt w:val="bullet"/>
      <w:lvlText w:val="•"/>
      <w:lvlJc w:val="left"/>
      <w:pPr>
        <w:ind w:left="8302" w:hanging="2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385"/>
    <w:rsid w:val="001A56B0"/>
    <w:rsid w:val="0022512B"/>
    <w:rsid w:val="00276275"/>
    <w:rsid w:val="00297E88"/>
    <w:rsid w:val="002D3A94"/>
    <w:rsid w:val="00305A25"/>
    <w:rsid w:val="003700F8"/>
    <w:rsid w:val="003F550E"/>
    <w:rsid w:val="004555CE"/>
    <w:rsid w:val="004563DC"/>
    <w:rsid w:val="004B3295"/>
    <w:rsid w:val="00524EFA"/>
    <w:rsid w:val="005531B6"/>
    <w:rsid w:val="0060330A"/>
    <w:rsid w:val="00616A12"/>
    <w:rsid w:val="00691BBD"/>
    <w:rsid w:val="006B7485"/>
    <w:rsid w:val="007068C1"/>
    <w:rsid w:val="007129A3"/>
    <w:rsid w:val="00725385"/>
    <w:rsid w:val="00752FB1"/>
    <w:rsid w:val="007D6227"/>
    <w:rsid w:val="00875FCC"/>
    <w:rsid w:val="00977903"/>
    <w:rsid w:val="00981299"/>
    <w:rsid w:val="009A2CF5"/>
    <w:rsid w:val="009A7741"/>
    <w:rsid w:val="009B4522"/>
    <w:rsid w:val="00A23213"/>
    <w:rsid w:val="00A82677"/>
    <w:rsid w:val="00AE2A62"/>
    <w:rsid w:val="00B15B39"/>
    <w:rsid w:val="00BE0093"/>
    <w:rsid w:val="00C37BE1"/>
    <w:rsid w:val="00C457FE"/>
    <w:rsid w:val="00C63FB3"/>
    <w:rsid w:val="00CD43E9"/>
    <w:rsid w:val="00E36744"/>
    <w:rsid w:val="00E54018"/>
    <w:rsid w:val="00E54F71"/>
    <w:rsid w:val="00E76837"/>
    <w:rsid w:val="00E8596A"/>
    <w:rsid w:val="00EE1553"/>
    <w:rsid w:val="00EF0B6A"/>
    <w:rsid w:val="00F042DD"/>
    <w:rsid w:val="00F85139"/>
    <w:rsid w:val="00FB7671"/>
    <w:rsid w:val="00FC749A"/>
    <w:rsid w:val="00FD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1299"/>
    <w:pPr>
      <w:keepNext/>
      <w:keepLines/>
      <w:spacing w:before="240" w:after="240"/>
      <w:jc w:val="center"/>
      <w:outlineLvl w:val="1"/>
    </w:pPr>
    <w:rPr>
      <w:bCs/>
      <w:kern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1299"/>
    <w:rPr>
      <w:rFonts w:ascii="Times New Roman" w:hAnsi="Times New Roman" w:cs="Times New Roman"/>
      <w:bCs/>
      <w:kern w:val="24"/>
      <w:sz w:val="26"/>
      <w:szCs w:val="26"/>
    </w:rPr>
  </w:style>
  <w:style w:type="paragraph" w:styleId="a3">
    <w:name w:val="footnote text"/>
    <w:basedOn w:val="a"/>
    <w:link w:val="a4"/>
    <w:autoRedefine/>
    <w:uiPriority w:val="99"/>
    <w:rsid w:val="0027627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76275"/>
    <w:rPr>
      <w:rFonts w:ascii="Times New Roman" w:hAnsi="Times New Roman" w:cs="Times New Roman"/>
      <w:snapToGrid w:val="0"/>
      <w:sz w:val="20"/>
    </w:rPr>
  </w:style>
  <w:style w:type="paragraph" w:customStyle="1" w:styleId="a5">
    <w:name w:val="абзац"/>
    <w:basedOn w:val="a"/>
    <w:link w:val="a6"/>
    <w:autoRedefine/>
    <w:uiPriority w:val="99"/>
    <w:rsid w:val="0022512B"/>
  </w:style>
  <w:style w:type="character" w:customStyle="1" w:styleId="a6">
    <w:name w:val="абзац Знак"/>
    <w:basedOn w:val="a0"/>
    <w:link w:val="a5"/>
    <w:uiPriority w:val="99"/>
    <w:locked/>
    <w:rsid w:val="0022512B"/>
    <w:rPr>
      <w:rFonts w:ascii="Times New Roman" w:hAnsi="Times New Roman" w:cs="Times New Roman"/>
      <w:sz w:val="24"/>
    </w:rPr>
  </w:style>
  <w:style w:type="paragraph" w:customStyle="1" w:styleId="a7">
    <w:name w:val="Подзаголовок_статьи"/>
    <w:basedOn w:val="2"/>
    <w:link w:val="a8"/>
    <w:autoRedefine/>
    <w:uiPriority w:val="99"/>
    <w:rsid w:val="001A56B0"/>
    <w:pPr>
      <w:keepNext w:val="0"/>
      <w:keepLines w:val="0"/>
    </w:pPr>
    <w:rPr>
      <w:rFonts w:eastAsia="Calibri"/>
      <w:b/>
      <w:bCs w:val="0"/>
      <w:smallCaps/>
      <w:szCs w:val="28"/>
    </w:rPr>
  </w:style>
  <w:style w:type="character" w:customStyle="1" w:styleId="a8">
    <w:name w:val="Подзаголовок_статьи Знак"/>
    <w:basedOn w:val="20"/>
    <w:link w:val="a7"/>
    <w:uiPriority w:val="99"/>
    <w:locked/>
    <w:rsid w:val="001A56B0"/>
    <w:rPr>
      <w:rFonts w:ascii="Times New Roman" w:hAnsi="Times New Roman" w:cs="Times New Roman"/>
      <w:b/>
      <w:bCs/>
      <w:smallCaps/>
      <w:color w:val="4F81BD"/>
      <w:kern w:val="24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A8267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A82677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276275"/>
    <w:rPr>
      <w:rFonts w:ascii="Times New Roman" w:hAnsi="Times New Roman" w:cs="Times New Roman"/>
      <w:sz w:val="20"/>
      <w:vertAlign w:val="superscript"/>
    </w:rPr>
  </w:style>
  <w:style w:type="character" w:styleId="ac">
    <w:name w:val="footnote reference"/>
    <w:basedOn w:val="a0"/>
    <w:uiPriority w:val="99"/>
    <w:semiHidden/>
    <w:rsid w:val="00B15B39"/>
    <w:rPr>
      <w:rFonts w:ascii="Times New Roman" w:hAnsi="Times New Roman" w:cs="Times New Roman"/>
      <w:sz w:val="20"/>
      <w:vertAlign w:val="superscript"/>
    </w:rPr>
  </w:style>
  <w:style w:type="paragraph" w:styleId="ad">
    <w:name w:val="List Paragraph"/>
    <w:basedOn w:val="a"/>
    <w:uiPriority w:val="99"/>
    <w:qFormat/>
    <w:rsid w:val="00725385"/>
  </w:style>
  <w:style w:type="character" w:styleId="ae">
    <w:name w:val="annotation reference"/>
    <w:basedOn w:val="a0"/>
    <w:uiPriority w:val="99"/>
    <w:semiHidden/>
    <w:rsid w:val="00C457F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457F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457F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457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457F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457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45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1299"/>
    <w:pPr>
      <w:keepNext/>
      <w:keepLines/>
      <w:spacing w:before="240" w:after="240"/>
      <w:jc w:val="center"/>
      <w:outlineLvl w:val="1"/>
    </w:pPr>
    <w:rPr>
      <w:bCs/>
      <w:kern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1299"/>
    <w:rPr>
      <w:rFonts w:ascii="Times New Roman" w:hAnsi="Times New Roman" w:cs="Times New Roman"/>
      <w:bCs/>
      <w:kern w:val="24"/>
      <w:sz w:val="26"/>
      <w:szCs w:val="26"/>
    </w:rPr>
  </w:style>
  <w:style w:type="paragraph" w:styleId="a3">
    <w:name w:val="footnote text"/>
    <w:basedOn w:val="a"/>
    <w:link w:val="a4"/>
    <w:autoRedefine/>
    <w:uiPriority w:val="99"/>
    <w:rsid w:val="0027627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76275"/>
    <w:rPr>
      <w:rFonts w:ascii="Times New Roman" w:hAnsi="Times New Roman" w:cs="Times New Roman"/>
      <w:snapToGrid w:val="0"/>
      <w:sz w:val="20"/>
    </w:rPr>
  </w:style>
  <w:style w:type="paragraph" w:customStyle="1" w:styleId="a5">
    <w:name w:val="абзац"/>
    <w:basedOn w:val="a"/>
    <w:link w:val="a6"/>
    <w:autoRedefine/>
    <w:uiPriority w:val="99"/>
    <w:rsid w:val="0022512B"/>
  </w:style>
  <w:style w:type="character" w:customStyle="1" w:styleId="a6">
    <w:name w:val="абзац Знак"/>
    <w:basedOn w:val="a0"/>
    <w:link w:val="a5"/>
    <w:uiPriority w:val="99"/>
    <w:locked/>
    <w:rsid w:val="0022512B"/>
    <w:rPr>
      <w:rFonts w:ascii="Times New Roman" w:hAnsi="Times New Roman" w:cs="Times New Roman"/>
      <w:sz w:val="24"/>
    </w:rPr>
  </w:style>
  <w:style w:type="paragraph" w:customStyle="1" w:styleId="a7">
    <w:name w:val="Подзаголовок_статьи"/>
    <w:basedOn w:val="2"/>
    <w:link w:val="a8"/>
    <w:autoRedefine/>
    <w:uiPriority w:val="99"/>
    <w:rsid w:val="001A56B0"/>
    <w:pPr>
      <w:keepNext w:val="0"/>
      <w:keepLines w:val="0"/>
    </w:pPr>
    <w:rPr>
      <w:rFonts w:eastAsia="Calibri"/>
      <w:b/>
      <w:bCs w:val="0"/>
      <w:smallCaps/>
      <w:szCs w:val="28"/>
    </w:rPr>
  </w:style>
  <w:style w:type="character" w:customStyle="1" w:styleId="a8">
    <w:name w:val="Подзаголовок_статьи Знак"/>
    <w:basedOn w:val="20"/>
    <w:link w:val="a7"/>
    <w:uiPriority w:val="99"/>
    <w:locked/>
    <w:rsid w:val="001A56B0"/>
    <w:rPr>
      <w:rFonts w:ascii="Times New Roman" w:hAnsi="Times New Roman" w:cs="Times New Roman"/>
      <w:b/>
      <w:bCs/>
      <w:smallCaps/>
      <w:color w:val="4F81BD"/>
      <w:kern w:val="24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A8267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A82677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276275"/>
    <w:rPr>
      <w:rFonts w:ascii="Times New Roman" w:hAnsi="Times New Roman" w:cs="Times New Roman"/>
      <w:sz w:val="20"/>
      <w:vertAlign w:val="superscript"/>
    </w:rPr>
  </w:style>
  <w:style w:type="character" w:styleId="ac">
    <w:name w:val="footnote reference"/>
    <w:basedOn w:val="a0"/>
    <w:uiPriority w:val="99"/>
    <w:semiHidden/>
    <w:rsid w:val="00B15B39"/>
    <w:rPr>
      <w:rFonts w:ascii="Times New Roman" w:hAnsi="Times New Roman" w:cs="Times New Roman"/>
      <w:sz w:val="20"/>
      <w:vertAlign w:val="superscript"/>
    </w:rPr>
  </w:style>
  <w:style w:type="paragraph" w:styleId="ad">
    <w:name w:val="List Paragraph"/>
    <w:basedOn w:val="a"/>
    <w:uiPriority w:val="99"/>
    <w:qFormat/>
    <w:rsid w:val="00725385"/>
  </w:style>
  <w:style w:type="character" w:styleId="ae">
    <w:name w:val="annotation reference"/>
    <w:basedOn w:val="a0"/>
    <w:uiPriority w:val="99"/>
    <w:semiHidden/>
    <w:rsid w:val="00C457F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457F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457F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457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457F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C457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45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программы развития МАЭ РАН на пять лет (А</vt:lpstr>
    </vt:vector>
  </TitlesOfParts>
  <Company>SPecialiST RePack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программы развития МАЭ РАН на пять лет (А</dc:title>
  <dc:creator>Yuri K. Chistov</dc:creator>
  <cp:lastModifiedBy>казурова наталья </cp:lastModifiedBy>
  <cp:revision>3</cp:revision>
  <dcterms:created xsi:type="dcterms:W3CDTF">2017-03-28T11:54:00Z</dcterms:created>
  <dcterms:modified xsi:type="dcterms:W3CDTF">2017-05-02T14:04:00Z</dcterms:modified>
</cp:coreProperties>
</file>