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1652270</wp:posOffset>
            </wp:positionH>
            <wp:positionV relativeFrom="paragraph">
              <wp:posOffset>-402590</wp:posOffset>
            </wp:positionV>
            <wp:extent cx="1252220" cy="18135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59" w:before="0" w:after="16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center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Киселёва Ксения Валерьевна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Родилась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мая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1992 года в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Москве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. 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Образование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201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– 201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9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–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Российский Государственный Гуманитарный Университет, Учебно-научный центр социальной антропологии, магистратура.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20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09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– 201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5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–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Институт Современного Искусства, факультет графического дизайна, специалитет.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Аспирантура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Очная 201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9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– 202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2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гг.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Отдел МАЭ РАН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Севера и Сибири.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Научный руководитель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к.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с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.н.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Давыдов В.Н.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Тема научно-исследовательской работы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«Повседневные практики обращения с отходами в кочевом хозяйстве ненцев Полярного Урала в ХХI веке».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Владение языками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английский (разговор, чтение),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корейский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(чтение).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Публикации:</w:t>
      </w:r>
    </w:p>
    <w:p>
      <w:pPr>
        <w:pStyle w:val="Style15"/>
        <w:spacing w:lineRule="exact" w:line="259" w:before="0" w:after="16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Киселёва К.В. Школа для кочевников: может ли образование дать выбор? — Арктические исследования: от экстенсивного освоения к комплексному развитию / Архангельск: САФУ им. М.В. Ломоносова. С. 357. 2018.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Киселёва К.В. «ХХ-ХХI века. Школьное образование и трансформация традиционной культуры (на примере ненцев п-ова Ямал)». Проблемы идентичности в контексте мирового опыта по материалам конференции молодых ученых. Москва, 12-14 декабря 2017 г. / под ред. Е.Б. Бариновой. – М.: ИЭА РАН. 2018</w:t>
      </w:r>
    </w:p>
    <w:p>
      <w:pPr>
        <w:pStyle w:val="Normal"/>
        <w:spacing w:lineRule="exact" w:line="259" w:before="0" w:after="160"/>
        <w:ind w:left="0" w:right="0" w:hanging="0"/>
        <w:jc w:val="both"/>
        <w:rPr/>
      </w:pPr>
      <w:r>
        <w:rPr/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Доклады на конференциях</w:t>
      </w:r>
    </w:p>
    <w:p>
      <w:pPr>
        <w:pStyle w:val="Style15"/>
        <w:spacing w:lineRule="exact" w:line="259" w:before="0" w:after="16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2019 г. — XIII Конгрессе антропологов и этнологов России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Секция 14 «Антропология охоты»;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Секция 45 «Поломанная повседневность: экономическая культура поселений Севера, Сибири и Дальнего Востока»: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«Стратегии обращения с мусором ненцев Ямала: экологичный и «минималистский» подходы».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2018 г. — I Международной молодежной научно-практической конференции «Арктические исследования: от экстенсивного освоения к комплексному развитию».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«Школа для кочевников: может ли образование дать выбор?».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2017 г. — Конференция молодых учёных в ИЭА РАН</w:t>
      </w:r>
    </w:p>
    <w:p>
      <w:pPr>
        <w:pStyle w:val="Style15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«ХХ-ХХI века. Школьное образование и трансформация традиционной культуры (на примере ненцев п-ова Ямал)».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Полевая работа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Июль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2017 г. - полев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ая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работа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в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Надымско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м р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айон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е Ямало-Ненецкого АО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июль 201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8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–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студенческая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полевая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экспедиция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в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Тульскую область.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апрель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201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9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–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полев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ая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работа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в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Приуральском и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Ямальско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м районах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Ямало-Ненецкого АО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exact" w:line="259" w:before="0" w:after="160"/>
        <w:ind w:left="0" w:right="0" w:hanging="0"/>
        <w:jc w:val="both"/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август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20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19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– полевая работа в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Приуральском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р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айон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е Ямало-Ненецкого АО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.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andard">
    <w:name w:val="Standard"/>
    <w:pPr>
      <w:widowControl w:val="false"/>
      <w:suppressAutoHyphens w:val="true"/>
      <w:spacing w:lineRule="auto" w:line="360" w:before="0" w:after="40"/>
    </w:pPr>
    <w:rPr>
      <w:rFonts w:ascii="Liberation Serif;Times New Roman" w:hAnsi="Liberation Serif;Times New Roman" w:eastAsia="Droid Sans Fallback" w:cs="FreeSans;Times New Roman"/>
      <w:color w:val="auto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revision>0</cp:revision>
</cp:coreProperties>
</file>