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2653443" cy="368003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3443" cy="36800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Гордеева Полина Витальевна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Родилась 20 марта 1999 года в г. Калуге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Образование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В 2021 году окончила Санкт-Петербургский государственный университет с присвоением квалификации бакалавр востоковедения, африканистики (специализация «История Центральной Азии»)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В 2023 году с отличием окончила Санкт-Петербургский государственный университет с присвоением квалификации магистр востоковедения, африканистики (специальность «Социально-культурная антропология народов Азии и Африки»)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Владение иностранными языками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Английский, турецкий, персидский, таджикский, казахский (со словарем)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Аспирантура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Очная 2023-2026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Отдел МАЭ РАН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Отдел Центральной Азии, заведующий отделом к.и.н М.Е. Резван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Научный руководитель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Д.и.н. Е.А. Резван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Соруководитель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К.и.н. И.В. Стасевич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Тема научно-исследовательской работы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«Предметно-пространственный код казахского жилища: традиция и модернизация в XXI веке»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Научные публикации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Гордеева П.В. Культурные связи Ирана и Таджикистана после 1991 г. / Восхождение к науке. Сборник избранных научных статей студентов Восточного факультета. Отв. ред. А.В. Челнокова. Санкт-Петербург, 2020. С. 26-31.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Гордеева П.В. Обзор основных источников о жизни и судьбе хана Арынгазы Абилгазы-улы»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/ Доклады XXXI Международного конгресса по источниковедению и историо​графии стран Азии и Африки. Россия и Восток. С. 209-219.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Стажировки и летние школы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сентябрь 2019 - январь 2020: стажировка в Тегеранском Университете (Факультет персидского языка и литературы)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ноябрь-декабрь 2019: школа персидского языка им. Али Акбара Дехходы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Участие в конференциях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20 октября 2020 – Международная научная конференция XXXV Кононовские чтения. Доклад «Переписка хана Арынгазы Абилгазыулы как источник сведений о российско-казахских отношений в первой трети XIX в.»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23-25 июня 2021 – XXXI Международный конгресс по источниковедению и историографии стран Азии и Африки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РОССИЯ И ВОСТОК. К 100-ЛЕТИЮ ПОЛИТИЧЕСКИХ И КУЛЬТУРНЫХ СВЯЗЕЙ НОВЕЙШЕГО ВРЕМЕНИ. Доклад «Обзор основных источников о жизни и судьбе хана Арынгазы Абилгазы-улы»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Полевая работа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2022 июль-август: Алматы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